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5A669" w14:textId="7EA92441" w:rsidR="00E622C9" w:rsidRPr="005929C6" w:rsidRDefault="00E622C9" w:rsidP="00E622C9">
      <w:pPr>
        <w:spacing w:after="0" w:line="240" w:lineRule="auto"/>
        <w:jc w:val="center"/>
        <w:rPr>
          <w:rFonts w:ascii="Times New Roman" w:hAnsi="Times New Roman"/>
          <w:b/>
          <w:caps/>
          <w:sz w:val="28"/>
          <w:szCs w:val="24"/>
        </w:rPr>
      </w:pPr>
      <w:r w:rsidRPr="005929C6">
        <w:rPr>
          <w:rFonts w:ascii="Times New Roman" w:hAnsi="Times New Roman"/>
          <w:b/>
          <w:caps/>
          <w:sz w:val="28"/>
          <w:szCs w:val="24"/>
        </w:rPr>
        <w:t>Структура дополнительной образовательной общеразвивающей п</w:t>
      </w:r>
      <w:r>
        <w:rPr>
          <w:rFonts w:ascii="Times New Roman" w:hAnsi="Times New Roman"/>
          <w:b/>
          <w:caps/>
          <w:sz w:val="28"/>
          <w:szCs w:val="24"/>
        </w:rPr>
        <w:t xml:space="preserve">рограммы. </w:t>
      </w:r>
    </w:p>
    <w:p w14:paraId="1A7DFFDC" w14:textId="77777777" w:rsidR="00E622C9" w:rsidRDefault="00E622C9" w:rsidP="00E622C9">
      <w:pPr>
        <w:spacing w:after="0" w:line="240" w:lineRule="auto"/>
        <w:jc w:val="both"/>
        <w:rPr>
          <w:rFonts w:ascii="Times New Roman" w:hAnsi="Times New Roman"/>
          <w:sz w:val="24"/>
          <w:szCs w:val="24"/>
        </w:rPr>
      </w:pPr>
    </w:p>
    <w:p w14:paraId="6ECD5C2F" w14:textId="77777777" w:rsidR="00E622C9" w:rsidRDefault="00E622C9" w:rsidP="00E622C9">
      <w:pPr>
        <w:spacing w:after="0" w:line="240" w:lineRule="auto"/>
        <w:jc w:val="both"/>
        <w:rPr>
          <w:rFonts w:ascii="Times New Roman" w:hAnsi="Times New Roman"/>
          <w:sz w:val="28"/>
        </w:rPr>
      </w:pPr>
      <w:r w:rsidRPr="007C5D5A">
        <w:rPr>
          <w:rFonts w:ascii="Times New Roman" w:hAnsi="Times New Roman"/>
          <w:b/>
          <w:i/>
          <w:sz w:val="28"/>
        </w:rPr>
        <w:t xml:space="preserve">Технология проектирования дополнительной общеобразовательной общеразвивающей 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18"/>
      </w:tblGrid>
      <w:tr w:rsidR="00E622C9" w:rsidRPr="007C5D5A" w14:paraId="2A60D8A5" w14:textId="77777777" w:rsidTr="00061364">
        <w:tc>
          <w:tcPr>
            <w:tcW w:w="2130" w:type="dxa"/>
            <w:shd w:val="clear" w:color="auto" w:fill="auto"/>
          </w:tcPr>
          <w:p w14:paraId="575658EE" w14:textId="77777777" w:rsidR="00E622C9" w:rsidRPr="00767E26" w:rsidRDefault="00E622C9" w:rsidP="00061364">
            <w:pPr>
              <w:spacing w:after="0" w:line="240" w:lineRule="auto"/>
              <w:jc w:val="center"/>
              <w:rPr>
                <w:rFonts w:ascii="Times New Roman" w:hAnsi="Times New Roman"/>
                <w:i/>
              </w:rPr>
            </w:pPr>
            <w:r w:rsidRPr="00767E26">
              <w:rPr>
                <w:rFonts w:ascii="Times New Roman" w:hAnsi="Times New Roman"/>
                <w:i/>
              </w:rPr>
              <w:t>Структура программы</w:t>
            </w:r>
          </w:p>
        </w:tc>
        <w:tc>
          <w:tcPr>
            <w:tcW w:w="7310" w:type="dxa"/>
            <w:shd w:val="clear" w:color="auto" w:fill="auto"/>
          </w:tcPr>
          <w:p w14:paraId="269E84FE" w14:textId="77777777" w:rsidR="00E622C9" w:rsidRPr="00767E26" w:rsidRDefault="00E622C9" w:rsidP="00061364">
            <w:pPr>
              <w:spacing w:after="0" w:line="240" w:lineRule="auto"/>
              <w:jc w:val="center"/>
              <w:rPr>
                <w:rFonts w:ascii="Times New Roman" w:hAnsi="Times New Roman"/>
                <w:i/>
              </w:rPr>
            </w:pPr>
            <w:r w:rsidRPr="00767E26">
              <w:rPr>
                <w:rFonts w:ascii="Times New Roman" w:hAnsi="Times New Roman"/>
                <w:i/>
              </w:rPr>
              <w:t>Наименование структурных компонентов программы</w:t>
            </w:r>
          </w:p>
        </w:tc>
      </w:tr>
      <w:tr w:rsidR="00E622C9" w:rsidRPr="007C5D5A" w14:paraId="1E289AA4" w14:textId="77777777" w:rsidTr="00061364">
        <w:tc>
          <w:tcPr>
            <w:tcW w:w="2130" w:type="dxa"/>
            <w:shd w:val="clear" w:color="auto" w:fill="auto"/>
          </w:tcPr>
          <w:p w14:paraId="6063F9A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Титульный лист</w:t>
            </w:r>
          </w:p>
          <w:p w14:paraId="766D289F" w14:textId="77777777" w:rsidR="00E622C9" w:rsidRPr="00767E26" w:rsidRDefault="00E622C9" w:rsidP="00061364">
            <w:pPr>
              <w:spacing w:after="0" w:line="240" w:lineRule="auto"/>
              <w:jc w:val="both"/>
              <w:rPr>
                <w:rFonts w:ascii="Times New Roman" w:hAnsi="Times New Roman"/>
              </w:rPr>
            </w:pPr>
          </w:p>
        </w:tc>
        <w:tc>
          <w:tcPr>
            <w:tcW w:w="7310" w:type="dxa"/>
            <w:shd w:val="clear" w:color="auto" w:fill="auto"/>
          </w:tcPr>
          <w:p w14:paraId="54BC5B5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наименование вышестоящих органов образования (по подчиненности учреждения, организации); </w:t>
            </w:r>
          </w:p>
          <w:p w14:paraId="5909E58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наименование учреждения, организации (согласно формулировке устава организации);</w:t>
            </w:r>
          </w:p>
          <w:p w14:paraId="6BB6AD8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дата и № протокола экспертного совета, рекомендовавшего программу к реализации; </w:t>
            </w:r>
          </w:p>
          <w:p w14:paraId="5A2CE7B1"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гриф утверждения программы (с указанием ФИО руководителя, даты и номера приказа);</w:t>
            </w:r>
          </w:p>
          <w:p w14:paraId="07C159AE" w14:textId="6881762C" w:rsidR="00E622C9"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название программы; </w:t>
            </w:r>
            <w:r w:rsidRPr="00767E26">
              <w:rPr>
                <w:rFonts w:ascii="Times New Roman" w:hAnsi="Times New Roman"/>
              </w:rPr>
              <w:sym w:font="Symbol" w:char="F02D"/>
            </w:r>
            <w:r w:rsidRPr="00767E26">
              <w:rPr>
                <w:rFonts w:ascii="Times New Roman" w:hAnsi="Times New Roman"/>
              </w:rPr>
              <w:t xml:space="preserve"> адресат программы (возраст участников программы); </w:t>
            </w:r>
            <w:r w:rsidRPr="00767E26">
              <w:rPr>
                <w:rFonts w:ascii="Times New Roman" w:hAnsi="Times New Roman"/>
              </w:rPr>
              <w:sym w:font="Symbol" w:char="F02D"/>
            </w:r>
            <w:r w:rsidRPr="00767E26">
              <w:rPr>
                <w:rFonts w:ascii="Times New Roman" w:hAnsi="Times New Roman"/>
              </w:rPr>
              <w:t xml:space="preserve"> срок реализации программы; </w:t>
            </w:r>
          </w:p>
          <w:p w14:paraId="499F6A7F" w14:textId="03760EA2" w:rsidR="00657DB9" w:rsidRPr="00767E26" w:rsidRDefault="00657DB9" w:rsidP="00061364">
            <w:pPr>
              <w:spacing w:after="0" w:line="240" w:lineRule="auto"/>
              <w:jc w:val="both"/>
              <w:rPr>
                <w:rFonts w:ascii="Times New Roman" w:hAnsi="Times New Roman"/>
              </w:rPr>
            </w:pPr>
            <w:r>
              <w:rPr>
                <w:rFonts w:ascii="Times New Roman" w:hAnsi="Times New Roman"/>
              </w:rPr>
              <w:t xml:space="preserve"> - уровень сложности программы: ознакомительный, базовый или продвинутый</w:t>
            </w:r>
          </w:p>
          <w:p w14:paraId="1F9A1CA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ФИО, должность разработчика (-</w:t>
            </w:r>
            <w:proofErr w:type="spellStart"/>
            <w:r w:rsidRPr="00767E26">
              <w:rPr>
                <w:rFonts w:ascii="Times New Roman" w:hAnsi="Times New Roman"/>
              </w:rPr>
              <w:t>ов</w:t>
            </w:r>
            <w:proofErr w:type="spellEnd"/>
            <w:r w:rsidRPr="00767E26">
              <w:rPr>
                <w:rFonts w:ascii="Times New Roman" w:hAnsi="Times New Roman"/>
              </w:rPr>
              <w:t xml:space="preserve">) программы; </w:t>
            </w:r>
          </w:p>
          <w:p w14:paraId="764A5EE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Место (город, другой населенный пункт) и год разработки программы</w:t>
            </w:r>
          </w:p>
        </w:tc>
      </w:tr>
      <w:tr w:rsidR="00E622C9" w:rsidRPr="007C5D5A" w14:paraId="127968ED" w14:textId="77777777" w:rsidTr="00061364">
        <w:tc>
          <w:tcPr>
            <w:tcW w:w="9440" w:type="dxa"/>
            <w:gridSpan w:val="2"/>
            <w:shd w:val="clear" w:color="auto" w:fill="auto"/>
          </w:tcPr>
          <w:p w14:paraId="16C158D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Раздел 1. Комплекс основных характеристик программы </w:t>
            </w:r>
          </w:p>
        </w:tc>
      </w:tr>
      <w:tr w:rsidR="00E622C9" w:rsidRPr="007C5D5A" w14:paraId="01F19DAC" w14:textId="77777777" w:rsidTr="00061364">
        <w:tc>
          <w:tcPr>
            <w:tcW w:w="2130" w:type="dxa"/>
            <w:shd w:val="clear" w:color="auto" w:fill="auto"/>
          </w:tcPr>
          <w:p w14:paraId="56BB108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1.1.Пояснительная записка </w:t>
            </w:r>
          </w:p>
          <w:p w14:paraId="61751ED8" w14:textId="77777777" w:rsidR="00E622C9" w:rsidRPr="00767E26" w:rsidRDefault="00E622C9" w:rsidP="00061364">
            <w:pPr>
              <w:spacing w:after="0" w:line="240" w:lineRule="auto"/>
              <w:jc w:val="both"/>
              <w:rPr>
                <w:rFonts w:ascii="Times New Roman" w:hAnsi="Times New Roman"/>
              </w:rPr>
            </w:pPr>
          </w:p>
        </w:tc>
        <w:tc>
          <w:tcPr>
            <w:tcW w:w="7310" w:type="dxa"/>
            <w:shd w:val="clear" w:color="auto" w:fill="auto"/>
          </w:tcPr>
          <w:p w14:paraId="652D399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направленность программы </w:t>
            </w:r>
          </w:p>
          <w:p w14:paraId="1306DF4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актуальность программы </w:t>
            </w:r>
          </w:p>
          <w:p w14:paraId="09B13C1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своевременность, необходимость, соответствие потребностям времени; </w:t>
            </w:r>
          </w:p>
          <w:p w14:paraId="6F5B94F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отличительные особенности </w:t>
            </w:r>
            <w:proofErr w:type="gramStart"/>
            <w:r w:rsidRPr="00767E26">
              <w:rPr>
                <w:rFonts w:ascii="Times New Roman" w:hAnsi="Times New Roman"/>
              </w:rPr>
              <w:t>программы  –</w:t>
            </w:r>
            <w:proofErr w:type="gramEnd"/>
            <w:r w:rsidRPr="00767E26">
              <w:rPr>
                <w:rFonts w:ascii="Times New Roman" w:hAnsi="Times New Roman"/>
              </w:rPr>
              <w:t xml:space="preserve"> основные идеи, отличающие программу от существующих; </w:t>
            </w:r>
          </w:p>
          <w:p w14:paraId="276E108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адресат программы – краткая характеристика обучающихся по программе, возрастные особенности, иные медико-психолого- педагогические характеристики; </w:t>
            </w:r>
          </w:p>
          <w:p w14:paraId="447C2A2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объем и срок освоения программы – общее количество учебных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14:paraId="6A6A460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формы обучения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14:paraId="0A0E54C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особенности организации образовательного процесса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№1008, п. 7); состав группы (постоянный, переменный и др.)</w:t>
            </w:r>
          </w:p>
          <w:p w14:paraId="62D78AB8"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режим занятий, периодичность и продолжительность занятий – общее количество часов в год; количество часов и занятий в неделю; периодичность и продолжительность занятий.</w:t>
            </w:r>
          </w:p>
        </w:tc>
      </w:tr>
      <w:tr w:rsidR="00E622C9" w:rsidRPr="007C5D5A" w14:paraId="24FE8CBC" w14:textId="77777777" w:rsidTr="00061364">
        <w:tc>
          <w:tcPr>
            <w:tcW w:w="2130" w:type="dxa"/>
            <w:shd w:val="clear" w:color="auto" w:fill="auto"/>
          </w:tcPr>
          <w:p w14:paraId="2D3A876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1.2.Цели и задачи </w:t>
            </w:r>
          </w:p>
        </w:tc>
        <w:tc>
          <w:tcPr>
            <w:tcW w:w="7310" w:type="dxa"/>
            <w:shd w:val="clear" w:color="auto" w:fill="auto"/>
          </w:tcPr>
          <w:p w14:paraId="3968816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Цель – 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Цель должна быть связана с названием программы, отражать ее основную направленность и желаемый конечный результат. </w:t>
            </w:r>
          </w:p>
          <w:p w14:paraId="79397C9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 xml:space="preserve">Конкретизация цели осуществляется через определение задач, раскрывающих пути достижения цели. Задачи показывают, что нужно сделать, чтобы достичь цели. </w:t>
            </w:r>
          </w:p>
          <w:p w14:paraId="2D6CEEA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При формулировании задач можно воспользоваться следующей их классификацией: </w:t>
            </w:r>
          </w:p>
          <w:p w14:paraId="470CD2E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14:paraId="5203343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метапредметные - развитие мотивации к определенному виду деятельности, потребности в саморазвитии, самостоятельности, ответственности, активности, аккуратности и т.п.; </w:t>
            </w:r>
          </w:p>
          <w:p w14:paraId="5FF71571"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образовательные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прогнозируемыми результатами.</w:t>
            </w:r>
          </w:p>
        </w:tc>
      </w:tr>
      <w:tr w:rsidR="00E622C9" w:rsidRPr="007C5D5A" w14:paraId="6ACAB73F" w14:textId="77777777" w:rsidTr="00061364">
        <w:tc>
          <w:tcPr>
            <w:tcW w:w="2130" w:type="dxa"/>
            <w:shd w:val="clear" w:color="auto" w:fill="auto"/>
          </w:tcPr>
          <w:p w14:paraId="5469C55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 xml:space="preserve">1.3.Содержание программы </w:t>
            </w:r>
          </w:p>
        </w:tc>
        <w:tc>
          <w:tcPr>
            <w:tcW w:w="7310" w:type="dxa"/>
            <w:shd w:val="clear" w:color="auto" w:fill="auto"/>
          </w:tcPr>
          <w:p w14:paraId="78C55C0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Содержание программы должно быть отражено в учебном плане и содержании учебно-тематического плана. </w:t>
            </w:r>
          </w:p>
          <w:p w14:paraId="46691B5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Учебный план (УП)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 ФЗ, ст. 2, п. 22; ст. 47, п. 5) (см. Приложение 2); </w:t>
            </w:r>
          </w:p>
          <w:p w14:paraId="494AB07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 </w:t>
            </w:r>
          </w:p>
          <w:p w14:paraId="5161D473"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При оформлении содержания следует придерживаться ряда общих правил:</w:t>
            </w:r>
          </w:p>
          <w:p w14:paraId="3120113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содержание составляется согласно УП; </w:t>
            </w:r>
          </w:p>
          <w:p w14:paraId="3641A28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формулировка и порядок расположения разделов и тем должны полностью соответствовать их формулировке и расположению в УП;</w:t>
            </w:r>
          </w:p>
          <w:p w14:paraId="0F05FC2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необходимо соблюдать деление на теорию и практику по каждому разделу (теме); </w:t>
            </w:r>
          </w:p>
          <w:p w14:paraId="73A814F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материал следует излагать назывными предложениями; </w:t>
            </w:r>
          </w:p>
          <w:p w14:paraId="1239915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содержание каждого года обучения целесообразно оформлять отдельно;</w:t>
            </w:r>
          </w:p>
          <w:p w14:paraId="458A6ED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в содержании могут размещаться ссылки на приложения (например, на правила выполнения упражнений, репертуар и т.п.); </w:t>
            </w:r>
            <w:r w:rsidRPr="00767E26">
              <w:rPr>
                <w:rFonts w:ascii="Times New Roman" w:hAnsi="Times New Roman"/>
              </w:rPr>
              <w:sym w:font="Symbol" w:char="F02D"/>
            </w:r>
            <w:r w:rsidRPr="00767E26">
              <w:rPr>
                <w:rFonts w:ascii="Times New Roman" w:hAnsi="Times New Roman"/>
              </w:rPr>
              <w:t xml:space="preserve"> в содержании могут быть представлены вариативные образовательные маршруты.</w:t>
            </w:r>
          </w:p>
        </w:tc>
      </w:tr>
      <w:tr w:rsidR="00E622C9" w:rsidRPr="007C5D5A" w14:paraId="4476301A" w14:textId="77777777" w:rsidTr="00061364">
        <w:tc>
          <w:tcPr>
            <w:tcW w:w="2130" w:type="dxa"/>
            <w:shd w:val="clear" w:color="auto" w:fill="auto"/>
          </w:tcPr>
          <w:p w14:paraId="7DE4CBD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1.4.Планируемые результаты </w:t>
            </w:r>
          </w:p>
        </w:tc>
        <w:tc>
          <w:tcPr>
            <w:tcW w:w="7310" w:type="dxa"/>
            <w:shd w:val="clear" w:color="auto" w:fill="auto"/>
          </w:tcPr>
          <w:p w14:paraId="4D6DF7B6"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В этой части необходимо сформулировать: </w:t>
            </w:r>
          </w:p>
          <w:p w14:paraId="0EC4E8E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требования к знаниям и умениям, которые должен приобрести обучающийся в процессе занятий по программе (т.е. что он должен знать и уметь); </w:t>
            </w:r>
          </w:p>
          <w:p w14:paraId="3327629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компетенции и личностные качества, которые могут быть сформированы и развиты у детей в результате занятий по программе; </w:t>
            </w:r>
          </w:p>
          <w:p w14:paraId="08FF47E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личностные, метапредметные и предметные результаты, которые приобретет обучающийся по итогам освоения программы. Данные характеристики формулируются с учетом цели и содержания программы.</w:t>
            </w:r>
          </w:p>
        </w:tc>
      </w:tr>
      <w:tr w:rsidR="00E622C9" w:rsidRPr="007C5D5A" w14:paraId="3C39326B" w14:textId="77777777" w:rsidTr="00061364">
        <w:tc>
          <w:tcPr>
            <w:tcW w:w="9440" w:type="dxa"/>
            <w:gridSpan w:val="2"/>
            <w:shd w:val="clear" w:color="auto" w:fill="auto"/>
          </w:tcPr>
          <w:p w14:paraId="05201E5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Раздел 2. «Комплекс организационно-педагогических условий»</w:t>
            </w:r>
          </w:p>
        </w:tc>
      </w:tr>
      <w:tr w:rsidR="00E622C9" w:rsidRPr="007C5D5A" w14:paraId="21CDF53B" w14:textId="77777777" w:rsidTr="00061364">
        <w:tc>
          <w:tcPr>
            <w:tcW w:w="2130" w:type="dxa"/>
            <w:shd w:val="clear" w:color="auto" w:fill="auto"/>
          </w:tcPr>
          <w:p w14:paraId="795016E6"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2.1.Календарный учебный график</w:t>
            </w:r>
          </w:p>
        </w:tc>
        <w:tc>
          <w:tcPr>
            <w:tcW w:w="7310" w:type="dxa"/>
            <w:shd w:val="clear" w:color="auto" w:fill="auto"/>
          </w:tcPr>
          <w:p w14:paraId="108B623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это составная часть образовательной программы (Закон № 273-ФЗ, гл. 1, ст. 2, п. 9), определяющая: </w:t>
            </w:r>
          </w:p>
          <w:p w14:paraId="4E43270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количество учебных недель, </w:t>
            </w:r>
          </w:p>
          <w:p w14:paraId="013E067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количество учебных дней, </w:t>
            </w:r>
          </w:p>
          <w:p w14:paraId="438B2740"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продолжительность каникул,</w:t>
            </w:r>
          </w:p>
          <w:p w14:paraId="4C6D8D2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даты начала и окончания учебных периодов/этапов</w:t>
            </w:r>
          </w:p>
        </w:tc>
      </w:tr>
      <w:tr w:rsidR="00E622C9" w:rsidRPr="007C5D5A" w14:paraId="696920A1" w14:textId="77777777" w:rsidTr="00061364">
        <w:tc>
          <w:tcPr>
            <w:tcW w:w="2130" w:type="dxa"/>
            <w:shd w:val="clear" w:color="auto" w:fill="auto"/>
          </w:tcPr>
          <w:p w14:paraId="754591E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2.2.Условия реализации программы</w:t>
            </w:r>
          </w:p>
        </w:tc>
        <w:tc>
          <w:tcPr>
            <w:tcW w:w="7310" w:type="dxa"/>
            <w:shd w:val="clear" w:color="auto" w:fill="auto"/>
          </w:tcPr>
          <w:p w14:paraId="08FB30F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К условиям реализации программы относится характеристика следующих аспектов: </w:t>
            </w:r>
          </w:p>
          <w:p w14:paraId="27928338"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w:t>
            </w:r>
          </w:p>
          <w:p w14:paraId="3AC0CF1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информационное обеспечение – аудио-, видео-, фото-, интернет источники; </w:t>
            </w:r>
          </w:p>
          <w:p w14:paraId="11D6683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tc>
      </w:tr>
      <w:tr w:rsidR="00E622C9" w:rsidRPr="007C5D5A" w14:paraId="0DCD40B5" w14:textId="77777777" w:rsidTr="00061364">
        <w:tc>
          <w:tcPr>
            <w:tcW w:w="2130" w:type="dxa"/>
            <w:shd w:val="clear" w:color="auto" w:fill="auto"/>
          </w:tcPr>
          <w:p w14:paraId="0115BD19"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2.3.Формы аттестации </w:t>
            </w:r>
          </w:p>
        </w:tc>
        <w:tc>
          <w:tcPr>
            <w:tcW w:w="7310" w:type="dxa"/>
            <w:shd w:val="clear" w:color="auto" w:fill="auto"/>
          </w:tcPr>
          <w:p w14:paraId="3A041E2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Разрабатываются и обосновываются для определения результативности освоения программы. Призваны отражать достижения цели и задач программы. Перечисляются согласно учебному плану и учебно-тематическому плану (зачет, творческая работа, выставка, конкурс, фестиваль и др.). </w:t>
            </w:r>
          </w:p>
          <w:p w14:paraId="4B06AA18"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w:t>
            </w:r>
          </w:p>
          <w:p w14:paraId="59B848CA"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профессиональные образовательные организации по профилю, праздник, слет, соревнование, фестиваль и др.</w:t>
            </w:r>
          </w:p>
        </w:tc>
      </w:tr>
      <w:tr w:rsidR="00E622C9" w:rsidRPr="007C5D5A" w14:paraId="3BDFE613" w14:textId="77777777" w:rsidTr="00061364">
        <w:tc>
          <w:tcPr>
            <w:tcW w:w="2130" w:type="dxa"/>
            <w:shd w:val="clear" w:color="auto" w:fill="auto"/>
          </w:tcPr>
          <w:p w14:paraId="163812A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2.4.Оценочные материалы </w:t>
            </w:r>
          </w:p>
        </w:tc>
        <w:tc>
          <w:tcPr>
            <w:tcW w:w="7310" w:type="dxa"/>
            <w:shd w:val="clear" w:color="auto" w:fill="auto"/>
          </w:tcPr>
          <w:p w14:paraId="002F9125"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В данном разделе отражается перечень (пакет) диагностических методик, позволяющих определить достижение учащимися планируемых результатов (Закон № 273-ФЗ, ст. 2, п. 9; ст. 47, п.5)</w:t>
            </w:r>
          </w:p>
        </w:tc>
      </w:tr>
      <w:tr w:rsidR="00E622C9" w:rsidRPr="007C5D5A" w14:paraId="23AA7294" w14:textId="77777777" w:rsidTr="00061364">
        <w:tc>
          <w:tcPr>
            <w:tcW w:w="2130" w:type="dxa"/>
            <w:shd w:val="clear" w:color="auto" w:fill="auto"/>
          </w:tcPr>
          <w:p w14:paraId="178A3222"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2.5.Методические материалы  </w:t>
            </w:r>
          </w:p>
        </w:tc>
        <w:tc>
          <w:tcPr>
            <w:tcW w:w="7310" w:type="dxa"/>
            <w:shd w:val="clear" w:color="auto" w:fill="auto"/>
          </w:tcPr>
          <w:p w14:paraId="2BB2124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Настоящий раздел представляет краткое описание методики работы по программе и включает в себя: </w:t>
            </w:r>
          </w:p>
          <w:p w14:paraId="6974E68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особенности организации образовательного процесса – очно, очно-заочно, заочно, дистанционно, в условиях сетевого взаимодействия и др.;</w:t>
            </w:r>
          </w:p>
          <w:p w14:paraId="44BD42C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методы обучения (словесный, наглядный практический; объяснительно-иллюстративный, репродуктивный, частично- 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w:t>
            </w:r>
          </w:p>
          <w:p w14:paraId="2BB7B5CB"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организации образовательного процесса: индивидуальная,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 </w:t>
            </w:r>
          </w:p>
          <w:p w14:paraId="41C5FCF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p>
          <w:p w14:paraId="63878AB7"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 xml:space="preserve"> </w:t>
            </w:r>
            <w:r w:rsidRPr="00767E26">
              <w:rPr>
                <w:rFonts w:ascii="Times New Roman" w:hAnsi="Times New Roman"/>
              </w:rPr>
              <w:sym w:font="Symbol" w:char="F02D"/>
            </w:r>
            <w:r w:rsidRPr="00767E26">
              <w:rPr>
                <w:rFonts w:ascii="Times New Roman" w:hAnsi="Times New Roman"/>
              </w:rPr>
              <w:t xml:space="preserve"> педагогические технологии - технология индивидуализации обучения, технология группового обучения, технология коллективного </w:t>
            </w:r>
            <w:proofErr w:type="spellStart"/>
            <w:r w:rsidRPr="00767E26">
              <w:rPr>
                <w:rFonts w:ascii="Times New Roman" w:hAnsi="Times New Roman"/>
              </w:rPr>
              <w:t>взаимообучения</w:t>
            </w:r>
            <w:proofErr w:type="spellEnd"/>
            <w:r w:rsidRPr="00767E26">
              <w:rPr>
                <w:rFonts w:ascii="Times New Roman" w:hAnsi="Times New Roman"/>
              </w:rPr>
              <w:t xml:space="preserve">, технология программированного обучения, технология модульного обучения, технология </w:t>
            </w:r>
            <w:proofErr w:type="spellStart"/>
            <w:r w:rsidRPr="00767E26">
              <w:rPr>
                <w:rFonts w:ascii="Times New Roman" w:hAnsi="Times New Roman"/>
              </w:rPr>
              <w:t>блочно</w:t>
            </w:r>
            <w:proofErr w:type="spellEnd"/>
            <w:r w:rsidRPr="00767E26">
              <w:rPr>
                <w:rFonts w:ascii="Times New Roman" w:hAnsi="Times New Roman"/>
              </w:rPr>
              <w:t xml:space="preserve">- модульного обучения, технология дифференцированного обучения, технология разноуровневого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Pr="00767E26">
              <w:rPr>
                <w:rFonts w:ascii="Times New Roman" w:hAnsi="Times New Roman"/>
              </w:rPr>
              <w:t>здоровьесберегающая</w:t>
            </w:r>
            <w:proofErr w:type="spellEnd"/>
            <w:r w:rsidRPr="00767E26">
              <w:rPr>
                <w:rFonts w:ascii="Times New Roman" w:hAnsi="Times New Roman"/>
              </w:rPr>
              <w:t xml:space="preserve"> технология, технология-дебаты и др.</w:t>
            </w:r>
          </w:p>
          <w:p w14:paraId="61E184A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алгоритм учебного занятия – краткое описание структуры занятия и его этапов; </w:t>
            </w:r>
            <w:r w:rsidRPr="00767E26">
              <w:rPr>
                <w:rFonts w:ascii="Times New Roman" w:hAnsi="Times New Roman"/>
              </w:rPr>
              <w:sym w:font="Symbol" w:char="F02D"/>
            </w:r>
            <w:r w:rsidRPr="00767E26">
              <w:rPr>
                <w:rFonts w:ascii="Times New Roman" w:hAnsi="Times New Roman"/>
              </w:rPr>
              <w:t xml:space="preserve"> дидактические материалы – раздаточные материалы, инструкционные, технологические карты, задания, упражнения, образцы изделий и </w:t>
            </w:r>
            <w:proofErr w:type="gramStart"/>
            <w:r w:rsidRPr="00767E26">
              <w:rPr>
                <w:rFonts w:ascii="Times New Roman" w:hAnsi="Times New Roman"/>
              </w:rPr>
              <w:t>т.п</w:t>
            </w:r>
            <w:proofErr w:type="gramEnd"/>
          </w:p>
        </w:tc>
      </w:tr>
      <w:tr w:rsidR="00E622C9" w:rsidRPr="007C5D5A" w14:paraId="10C45F12" w14:textId="77777777" w:rsidTr="00061364">
        <w:tc>
          <w:tcPr>
            <w:tcW w:w="2130" w:type="dxa"/>
            <w:shd w:val="clear" w:color="auto" w:fill="auto"/>
          </w:tcPr>
          <w:p w14:paraId="5CFA59ED"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lastRenderedPageBreak/>
              <w:t>2.6.Список использованной литературы</w:t>
            </w:r>
          </w:p>
          <w:p w14:paraId="0B58C1DA" w14:textId="77777777" w:rsidR="00E622C9" w:rsidRPr="00767E26" w:rsidRDefault="00E622C9" w:rsidP="00061364">
            <w:pPr>
              <w:spacing w:after="0" w:line="240" w:lineRule="auto"/>
              <w:jc w:val="both"/>
              <w:rPr>
                <w:rFonts w:ascii="Times New Roman" w:hAnsi="Times New Roman"/>
              </w:rPr>
            </w:pPr>
          </w:p>
        </w:tc>
        <w:tc>
          <w:tcPr>
            <w:tcW w:w="7310" w:type="dxa"/>
            <w:shd w:val="clear" w:color="auto" w:fill="auto"/>
          </w:tcPr>
          <w:p w14:paraId="6711791F"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При составлении списка литературы необходимо учитывать:</w:t>
            </w:r>
          </w:p>
          <w:p w14:paraId="24608B8E"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t xml:space="preserve"> </w:t>
            </w:r>
            <w:r w:rsidRPr="00767E26">
              <w:rPr>
                <w:rFonts w:ascii="Times New Roman" w:hAnsi="Times New Roman"/>
              </w:rPr>
              <w:sym w:font="Symbol" w:char="F02D"/>
            </w:r>
            <w:r w:rsidRPr="00767E26">
              <w:rPr>
                <w:rFonts w:ascii="Times New Roman" w:hAnsi="Times New Roman"/>
              </w:rPr>
              <w:t xml:space="preserve"> основную и дополнительную учебную литературу: учебные пособия, сборники упражнений, контрольных заданий, тестов, практических работ и практикумов, хрестоматии; </w:t>
            </w:r>
          </w:p>
          <w:p w14:paraId="26D692A4" w14:textId="77777777" w:rsidR="00E622C9" w:rsidRPr="00767E26" w:rsidRDefault="00E622C9" w:rsidP="00061364">
            <w:pPr>
              <w:spacing w:after="0" w:line="240" w:lineRule="auto"/>
              <w:jc w:val="both"/>
              <w:rPr>
                <w:rFonts w:ascii="Times New Roman" w:hAnsi="Times New Roman"/>
              </w:rPr>
            </w:pPr>
            <w:r w:rsidRPr="00767E26">
              <w:rPr>
                <w:rFonts w:ascii="Times New Roman" w:hAnsi="Times New Roman"/>
              </w:rPr>
              <w:sym w:font="Symbol" w:char="F02D"/>
            </w:r>
            <w:r w:rsidRPr="00767E26">
              <w:rPr>
                <w:rFonts w:ascii="Times New Roman" w:hAnsi="Times New Roman"/>
              </w:rPr>
              <w:t xml:space="preserve"> наглядный материал: альбомы, атласы, карты, таблицы. Список может быть составлен для разных участников образовательного процесса (педагогов, детей, родителей). Список оформляется в соответствии с ГОСТ к оформлению библиографических ссылок.</w:t>
            </w:r>
          </w:p>
        </w:tc>
      </w:tr>
    </w:tbl>
    <w:p w14:paraId="587FDF93" w14:textId="77777777" w:rsidR="00E622C9" w:rsidRPr="005929C6" w:rsidRDefault="00E622C9" w:rsidP="00E622C9">
      <w:pPr>
        <w:spacing w:after="0" w:line="240" w:lineRule="auto"/>
        <w:jc w:val="both"/>
        <w:rPr>
          <w:rFonts w:ascii="Times New Roman" w:hAnsi="Times New Roman"/>
          <w:b/>
          <w:i/>
          <w:sz w:val="28"/>
        </w:rPr>
      </w:pP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Pr>
          <w:rFonts w:ascii="Times New Roman" w:hAnsi="Times New Roman"/>
          <w:i/>
          <w:sz w:val="28"/>
          <w:lang w:val="en-US"/>
        </w:rPr>
        <w:softHyphen/>
      </w:r>
      <w:r w:rsidRPr="005929C6">
        <w:rPr>
          <w:rFonts w:ascii="Times New Roman" w:hAnsi="Times New Roman"/>
          <w:b/>
          <w:i/>
          <w:sz w:val="28"/>
        </w:rPr>
        <w:t xml:space="preserve"> </w:t>
      </w:r>
    </w:p>
    <w:sectPr w:rsidR="00E622C9" w:rsidRPr="00592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C9"/>
    <w:rsid w:val="00657DB9"/>
    <w:rsid w:val="00935A66"/>
    <w:rsid w:val="00B64542"/>
    <w:rsid w:val="00B83209"/>
    <w:rsid w:val="00D52653"/>
    <w:rsid w:val="00E62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6F22"/>
  <w15:docId w15:val="{32CCDD16-753B-4927-8411-99E004B5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2C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1639</Words>
  <Characters>9343</Characters>
  <Application>Microsoft Office Word</Application>
  <DocSecurity>0</DocSecurity>
  <Lines>77</Lines>
  <Paragraphs>21</Paragraphs>
  <ScaleCrop>false</ScaleCrop>
  <Company/>
  <LinksUpToDate>false</LinksUpToDate>
  <CharactersWithSpaces>10961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Золотова Екатерина Петровна</dc:creator>
  <cp:lastModifiedBy>Екатерина Золотова</cp:lastModifiedBy>
  <cp:revision>2</cp:revision>
  <dcterms:created xsi:type="dcterms:W3CDTF">2021-03-16T05:44:00Z</dcterms:created>
  <dcterms:modified xsi:type="dcterms:W3CDTF">2021-03-16T05:44:00Z</dcterms:modified>
</cp:coreProperties>
</file>